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94D" w:rsidRPr="00AC5402" w:rsidRDefault="0016094D">
      <w:pPr>
        <w:pStyle w:val="UDCNST"/>
        <w:rPr>
          <w:lang w:val="en-US"/>
        </w:rPr>
      </w:pPr>
      <w:bookmarkStart w:id="0" w:name="_GoBack"/>
      <w:bookmarkEnd w:id="0"/>
    </w:p>
    <w:p w:rsidR="0016094D" w:rsidRPr="00AC5402" w:rsidRDefault="00AC5402">
      <w:pPr>
        <w:pStyle w:val="TitleNST"/>
        <w:rPr>
          <w:lang w:val="en-US"/>
        </w:rPr>
      </w:pPr>
      <w:r w:rsidRPr="00AC5402">
        <w:rPr>
          <w:lang w:val="en-US"/>
        </w:rPr>
        <w:t>PAPER TITLE</w:t>
      </w:r>
    </w:p>
    <w:p w:rsidR="0016094D" w:rsidRPr="00AC5402" w:rsidRDefault="00AC5402">
      <w:pPr>
        <w:pStyle w:val="AuthorsNST"/>
        <w:rPr>
          <w:lang w:val="en-US"/>
        </w:rPr>
      </w:pPr>
      <w:r w:rsidRPr="00AC5402">
        <w:rPr>
          <w:lang w:val="en-US"/>
        </w:rPr>
        <w:t>Ivanov I.I.</w:t>
      </w:r>
      <w:r w:rsidRPr="00AC5402">
        <w:rPr>
          <w:vertAlign w:val="superscript"/>
          <w:lang w:val="en-US"/>
        </w:rPr>
        <w:t>1*</w:t>
      </w:r>
      <w:r w:rsidRPr="00AC5402">
        <w:rPr>
          <w:lang w:val="en-US"/>
        </w:rPr>
        <w:t xml:space="preserve">, PhD (Eng.), Associate Professor; </w:t>
      </w:r>
      <w:proofErr w:type="spellStart"/>
      <w:r w:rsidRPr="00AC5402">
        <w:rPr>
          <w:lang w:val="en-US"/>
        </w:rPr>
        <w:t>Petrenko</w:t>
      </w:r>
      <w:proofErr w:type="spellEnd"/>
      <w:r w:rsidRPr="00AC5402">
        <w:rPr>
          <w:lang w:val="en-US"/>
        </w:rPr>
        <w:t xml:space="preserve"> P.P.</w:t>
      </w:r>
      <w:r w:rsidRPr="00AC5402">
        <w:rPr>
          <w:vertAlign w:val="superscript"/>
          <w:lang w:val="en-US"/>
        </w:rPr>
        <w:t>2</w:t>
      </w:r>
      <w:r w:rsidRPr="00AC5402">
        <w:rPr>
          <w:lang w:val="en-US"/>
        </w:rPr>
        <w:t>, DSc (Eng.), Professor</w:t>
      </w:r>
    </w:p>
    <w:p w:rsidR="0016094D" w:rsidRPr="00465919" w:rsidRDefault="00AC5402">
      <w:pPr>
        <w:pStyle w:val="AffiliationNST"/>
        <w:rPr>
          <w:lang w:val="en-US"/>
        </w:rPr>
      </w:pPr>
      <w:r w:rsidRPr="00465919">
        <w:rPr>
          <w:vertAlign w:val="superscript"/>
          <w:lang w:val="en-US"/>
        </w:rPr>
        <w:t>1</w:t>
      </w:r>
      <w:r w:rsidRPr="00465919">
        <w:rPr>
          <w:lang w:val="en-US"/>
        </w:rPr>
        <w:t xml:space="preserve"> National University “Ode</w:t>
      </w:r>
      <w:r>
        <w:rPr>
          <w:lang w:val="en-US"/>
        </w:rPr>
        <w:t>s</w:t>
      </w:r>
      <w:r w:rsidRPr="00465919">
        <w:rPr>
          <w:lang w:val="en-US"/>
        </w:rPr>
        <w:t>sa Maritime Academy”, Ukraine</w:t>
      </w:r>
    </w:p>
    <w:p w:rsidR="0016094D" w:rsidRPr="00AC5402" w:rsidRDefault="00AC5402">
      <w:pPr>
        <w:pStyle w:val="AffiliationNST"/>
        <w:rPr>
          <w:lang w:val="en-US"/>
        </w:rPr>
      </w:pPr>
      <w:r w:rsidRPr="00AC5402">
        <w:rPr>
          <w:vertAlign w:val="superscript"/>
          <w:lang w:val="en-US"/>
        </w:rPr>
        <w:t>2</w:t>
      </w:r>
      <w:r w:rsidRPr="00AC5402">
        <w:rPr>
          <w:lang w:val="en-US"/>
        </w:rPr>
        <w:t xml:space="preserve"> Second organization, Country</w:t>
      </w:r>
    </w:p>
    <w:p w:rsidR="0016094D" w:rsidRPr="00AC5402" w:rsidRDefault="00AC5402">
      <w:pPr>
        <w:pStyle w:val="CorrespondingAuthorNST"/>
        <w:rPr>
          <w:lang w:val="en-US"/>
        </w:rPr>
      </w:pPr>
      <w:r w:rsidRPr="00AC5402">
        <w:rPr>
          <w:vertAlign w:val="superscript"/>
          <w:lang w:val="en-US"/>
        </w:rPr>
        <w:t>*</w:t>
      </w:r>
      <w:r w:rsidRPr="00AC5402">
        <w:rPr>
          <w:lang w:val="en-US"/>
        </w:rPr>
        <w:t xml:space="preserve"> Corresponding author: ivanov@example.com</w:t>
      </w:r>
    </w:p>
    <w:p w:rsidR="0016094D" w:rsidRPr="00AC5402" w:rsidRDefault="00AC5402">
      <w:pPr>
        <w:pStyle w:val="KeywordsNST"/>
        <w:rPr>
          <w:lang w:val="en-US"/>
        </w:rPr>
      </w:pPr>
      <w:r w:rsidRPr="00AC5402">
        <w:rPr>
          <w:b/>
          <w:bCs/>
          <w:lang w:val="en-US"/>
        </w:rPr>
        <w:t xml:space="preserve">Keywords: </w:t>
      </w:r>
      <w:r w:rsidRPr="00AC5402">
        <w:rPr>
          <w:lang w:val="en-US"/>
        </w:rPr>
        <w:t>navigation; integrated navigation system; ECDIS; safety of navigation.</w:t>
      </w:r>
    </w:p>
    <w:p w:rsidR="0016094D" w:rsidRPr="00AC5402" w:rsidRDefault="00AC5402">
      <w:pPr>
        <w:pStyle w:val="TextNST"/>
        <w:rPr>
          <w:lang w:val="en-US"/>
        </w:rPr>
      </w:pPr>
      <w:r w:rsidRPr="00AC5402">
        <w:rPr>
          <w:b/>
          <w:bCs/>
          <w:lang w:val="en-US"/>
        </w:rPr>
        <w:t xml:space="preserve">Introduction. </w:t>
      </w:r>
      <w:r w:rsidRPr="00AC5402">
        <w:rPr>
          <w:lang w:val="en-US"/>
        </w:rPr>
        <w:t>Text of the paper. It is recommended to divide the text into sections: introduction, problem statement, conclusions. Maritime transport carries a large share of world trade, and its efficiency and safety depend directly on the competence of seafarers and the technical equipment of ships. The development of digital technologies, automated control systems and electronic navigation opens up new opportunities, but at the same time places new demands on the safety of navigation and on the professional training of crews [1], [2]. Research in the field of navigation, shipping and maritime technologies therefore remains relevant.</w:t>
      </w:r>
    </w:p>
    <w:p w:rsidR="0016094D" w:rsidRPr="00AC5402" w:rsidRDefault="00AC5402">
      <w:pPr>
        <w:pStyle w:val="TextNST"/>
        <w:rPr>
          <w:lang w:val="en-US"/>
        </w:rPr>
      </w:pPr>
      <w:r w:rsidRPr="00AC5402">
        <w:rPr>
          <w:b/>
          <w:bCs/>
          <w:lang w:val="en-US"/>
        </w:rPr>
        <w:t xml:space="preserve">Authors and affiliations. </w:t>
      </w:r>
      <w:r w:rsidRPr="00AC5402">
        <w:rPr>
          <w:lang w:val="en-US"/>
        </w:rPr>
        <w:t>If the authors work in different organizations, each surname is followed by a superscript number that refers to the affiliation list. The corresponding author is marked with an asterisk (*), and his or her e-mail address is given below the affiliations.</w:t>
      </w:r>
    </w:p>
    <w:p w:rsidR="0016094D" w:rsidRPr="00AC5402" w:rsidRDefault="00AC5402">
      <w:pPr>
        <w:pStyle w:val="TextNST"/>
        <w:rPr>
          <w:lang w:val="en-US"/>
        </w:rPr>
      </w:pPr>
      <w:r w:rsidRPr="00AC5402">
        <w:rPr>
          <w:b/>
          <w:bCs/>
          <w:lang w:val="en-US"/>
        </w:rPr>
        <w:t xml:space="preserve">Citation rules. </w:t>
      </w:r>
      <w:r w:rsidRPr="00AC5402">
        <w:rPr>
          <w:lang w:val="en-US"/>
        </w:rPr>
        <w:t>Papers in English follow the IEEE citation style. References are cited in the text by a number in square brackets placed inside the sentence punctuation, e.g. [1]. Sources are numbered in the order of first citation, and the same number is reused each time the source is cited. A specific page is given after the number: [3, p. 45]; a page range as [3, pp. 45–47]. Several sources are separated by commas, [3], [4], and a range is given with an en dash: [1]</w:t>
      </w:r>
      <w:proofErr w:type="gramStart"/>
      <w:r w:rsidRPr="00AC5402">
        <w:rPr>
          <w:lang w:val="en-US"/>
        </w:rPr>
        <w:t>–[</w:t>
      </w:r>
      <w:proofErr w:type="gramEnd"/>
      <w:r w:rsidRPr="00AC5402">
        <w:rPr>
          <w:lang w:val="en-US"/>
        </w:rPr>
        <w:t>3]. Direct quotations are enclosed in quotation marks and must include the page number. Every source in the reference list must be cited in the text.</w:t>
      </w:r>
    </w:p>
    <w:p w:rsidR="0016094D" w:rsidRPr="00AC5402" w:rsidRDefault="00AC5402">
      <w:pPr>
        <w:pStyle w:val="TextNST"/>
        <w:rPr>
          <w:lang w:val="en-US"/>
        </w:rPr>
      </w:pPr>
      <w:r w:rsidRPr="00AC5402">
        <w:rPr>
          <w:b/>
          <w:bCs/>
          <w:lang w:val="en-US"/>
        </w:rPr>
        <w:t xml:space="preserve">Technical requirements. </w:t>
      </w:r>
      <w:r w:rsidRPr="00AC5402">
        <w:rPr>
          <w:lang w:val="en-US"/>
        </w:rPr>
        <w:t>The paper length is 3–6 pages including figures, tables and references; page numbers are not added. The UDC (Universal Decimal Classification) code is optional: if it is unknown, it will be assigned by the editors. Give 3–5 keywords separated by semicolons. Formulas are typed in the Word equation editor. Figures are inserted at their final size with legible labels. Abbreviations are spelled out at first use, e.g. Electronic Chart Display and Information System (ECDIS). Footnotes are not allowed.</w:t>
      </w:r>
    </w:p>
    <w:p w:rsidR="0016094D" w:rsidRPr="00AC5402" w:rsidRDefault="00AC5402">
      <w:pPr>
        <w:pStyle w:val="TextNST"/>
        <w:rPr>
          <w:lang w:val="en-US"/>
        </w:rPr>
      </w:pPr>
      <w:r w:rsidRPr="00AC5402">
        <w:rPr>
          <w:b/>
          <w:bCs/>
          <w:lang w:val="en-US"/>
        </w:rPr>
        <w:t xml:space="preserve">Problem statement. </w:t>
      </w:r>
      <w:r w:rsidRPr="00AC5402">
        <w:rPr>
          <w:lang w:val="en-US"/>
        </w:rPr>
        <w:t>One of the key tasks of navigation is timely detection of the risk of collision and the choice of an effective avoidance manoeuvre [3], [4]. As an example, Fig. 1 shows how the distance between two ships changes for different course alterations of the give-way vessel.</w:t>
      </w:r>
    </w:p>
    <w:p w:rsidR="0016094D" w:rsidRDefault="00AC5402">
      <w:pPr>
        <w:pStyle w:val="FigureNST"/>
      </w:pPr>
      <w:r>
        <w:rPr>
          <w:noProof/>
        </w:rPr>
        <w:lastRenderedPageBreak/>
        <w:drawing>
          <wp:inline distT="0" distB="0" distL="0" distR="0">
            <wp:extent cx="5762625" cy="2695575"/>
            <wp:effectExtent l="0" t="0" r="0" b="0"/>
            <wp:docPr id="1" name="scheme" descr="Figure 1. Change in the distance between ships for different course alterations"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5762625" cy="2695575"/>
                    </a:xfrm>
                    <a:prstGeom prst="rect">
                      <a:avLst/>
                    </a:prstGeom>
                  </pic:spPr>
                </pic:pic>
              </a:graphicData>
            </a:graphic>
          </wp:inline>
        </w:drawing>
      </w:r>
    </w:p>
    <w:p w:rsidR="0016094D" w:rsidRPr="00AC5402" w:rsidRDefault="00AC5402">
      <w:pPr>
        <w:pStyle w:val="FigureCaptionNST"/>
        <w:rPr>
          <w:lang w:val="en-US"/>
        </w:rPr>
      </w:pPr>
      <w:r w:rsidRPr="00AC5402">
        <w:rPr>
          <w:lang w:val="en-US"/>
        </w:rPr>
        <w:t>Figure 1. Change in the distance between ships for different course alterations</w:t>
      </w:r>
    </w:p>
    <w:p w:rsidR="0016094D" w:rsidRPr="00AC5402" w:rsidRDefault="00AC5402">
      <w:pPr>
        <w:pStyle w:val="TextNST"/>
        <w:rPr>
          <w:lang w:val="en-US"/>
        </w:rPr>
      </w:pPr>
      <w:r w:rsidRPr="00AC5402">
        <w:rPr>
          <w:lang w:val="en-US"/>
        </w:rPr>
        <w:t>Text text text text text text text text text text text text text text text text. Requirements for ships flying the flag of Ukraine are additionally established by national legislation [5].</w:t>
      </w:r>
    </w:p>
    <w:p w:rsidR="0016094D" w:rsidRPr="00AC5402" w:rsidRDefault="00AC5402">
      <w:pPr>
        <w:pStyle w:val="FormulaNST"/>
        <w:rPr>
          <w:lang w:val="en-US"/>
        </w:rPr>
      </w:pPr>
      <w:r w:rsidRPr="00AC5402">
        <w:rPr>
          <w:lang w:val="en-US"/>
        </w:rPr>
        <w:tab/>
      </w:r>
      <m:oMath>
        <m:r>
          <w:rPr>
            <w:rFonts w:ascii="Cambria Math" w:hAnsi="Cambria Math"/>
          </w:rPr>
          <m:t>E</m:t>
        </m:r>
        <m:r>
          <w:rPr>
            <w:rFonts w:ascii="Cambria Math" w:hAnsi="Cambria Math"/>
            <w:lang w:val="en-US"/>
          </w:rPr>
          <m:t>=</m:t>
        </m:r>
        <m:r>
          <w:rPr>
            <w:rFonts w:ascii="Cambria Math" w:hAnsi="Cambria Math"/>
          </w:rPr>
          <m:t>m</m:t>
        </m:r>
        <m:sSup>
          <m:sSupPr>
            <m:ctrlPr>
              <w:rPr>
                <w:rFonts w:ascii="Cambria Math" w:hAnsi="Cambria Math"/>
              </w:rPr>
            </m:ctrlPr>
          </m:sSupPr>
          <m:e>
            <m:r>
              <w:rPr>
                <w:rFonts w:ascii="Cambria Math" w:hAnsi="Cambria Math"/>
              </w:rPr>
              <m:t>c</m:t>
            </m:r>
          </m:e>
          <m:sup>
            <m:r>
              <w:rPr>
                <w:rFonts w:ascii="Cambria Math" w:hAnsi="Cambria Math"/>
                <w:lang w:val="en-US"/>
              </w:rPr>
              <m:t>2</m:t>
            </m:r>
          </m:sup>
        </m:sSup>
      </m:oMath>
      <w:r w:rsidRPr="00AC5402">
        <w:rPr>
          <w:lang w:val="en-US"/>
        </w:rPr>
        <w:tab/>
        <w:t>(1)</w:t>
      </w:r>
    </w:p>
    <w:p w:rsidR="0016094D" w:rsidRPr="00AC5402" w:rsidRDefault="00AC5402">
      <w:pPr>
        <w:pStyle w:val="TableCaptionNST"/>
        <w:rPr>
          <w:lang w:val="en-US"/>
        </w:rPr>
      </w:pPr>
      <w:r w:rsidRPr="00AC5402">
        <w:rPr>
          <w:lang w:val="en-US"/>
        </w:rPr>
        <w:t>Table 1. Table title</w:t>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2"/>
        <w:gridCol w:w="3212"/>
        <w:gridCol w:w="3212"/>
      </w:tblGrid>
      <w:tr w:rsidR="0016094D">
        <w:trPr>
          <w:cantSplit/>
        </w:trPr>
        <w:tc>
          <w:tcPr>
            <w:tcW w:w="3212" w:type="dxa"/>
            <w:tcBorders>
              <w:top w:val="single" w:sz="4" w:space="0" w:color="000000"/>
              <w:left w:val="single" w:sz="4" w:space="0" w:color="000000"/>
              <w:bottom w:val="single" w:sz="4" w:space="0" w:color="000000"/>
              <w:right w:val="single" w:sz="4" w:space="0" w:color="000000"/>
            </w:tcBorders>
            <w:tcMar>
              <w:left w:w="80" w:type="dxa"/>
              <w:right w:w="80" w:type="dxa"/>
            </w:tcMar>
          </w:tcPr>
          <w:p w:rsidR="0016094D" w:rsidRDefault="00AC5402">
            <w:pPr>
              <w:keepNext/>
              <w:jc w:val="center"/>
            </w:pPr>
            <w:proofErr w:type="spellStart"/>
            <w:r>
              <w:t>Parameter</w:t>
            </w:r>
            <w:proofErr w:type="spellEnd"/>
            <w:r>
              <w:t xml:space="preserve"> 1</w:t>
            </w:r>
          </w:p>
        </w:tc>
        <w:tc>
          <w:tcPr>
            <w:tcW w:w="3212" w:type="dxa"/>
            <w:tcBorders>
              <w:top w:val="single" w:sz="4" w:space="0" w:color="000000"/>
              <w:left w:val="single" w:sz="4" w:space="0" w:color="000000"/>
              <w:bottom w:val="single" w:sz="4" w:space="0" w:color="000000"/>
              <w:right w:val="single" w:sz="4" w:space="0" w:color="000000"/>
            </w:tcBorders>
            <w:tcMar>
              <w:left w:w="80" w:type="dxa"/>
              <w:right w:w="80" w:type="dxa"/>
            </w:tcMar>
          </w:tcPr>
          <w:p w:rsidR="0016094D" w:rsidRDefault="00AC5402">
            <w:pPr>
              <w:keepNext/>
              <w:jc w:val="center"/>
            </w:pPr>
            <w:proofErr w:type="spellStart"/>
            <w:r>
              <w:t>Parameter</w:t>
            </w:r>
            <w:proofErr w:type="spellEnd"/>
            <w:r>
              <w:t xml:space="preserve"> 2</w:t>
            </w:r>
          </w:p>
        </w:tc>
        <w:tc>
          <w:tcPr>
            <w:tcW w:w="3212" w:type="dxa"/>
            <w:tcBorders>
              <w:top w:val="single" w:sz="4" w:space="0" w:color="000000"/>
              <w:left w:val="single" w:sz="4" w:space="0" w:color="000000"/>
              <w:bottom w:val="single" w:sz="4" w:space="0" w:color="000000"/>
              <w:right w:val="single" w:sz="4" w:space="0" w:color="000000"/>
            </w:tcBorders>
            <w:tcMar>
              <w:left w:w="80" w:type="dxa"/>
              <w:right w:w="80" w:type="dxa"/>
            </w:tcMar>
          </w:tcPr>
          <w:p w:rsidR="0016094D" w:rsidRDefault="00AC5402">
            <w:pPr>
              <w:keepNext/>
              <w:jc w:val="center"/>
            </w:pPr>
            <w:proofErr w:type="spellStart"/>
            <w:r>
              <w:t>Parameter</w:t>
            </w:r>
            <w:proofErr w:type="spellEnd"/>
            <w:r>
              <w:t xml:space="preserve"> 3</w:t>
            </w:r>
          </w:p>
        </w:tc>
      </w:tr>
      <w:tr w:rsidR="0016094D">
        <w:trPr>
          <w:cantSplit/>
        </w:trPr>
        <w:tc>
          <w:tcPr>
            <w:tcW w:w="3212" w:type="dxa"/>
            <w:tcBorders>
              <w:top w:val="single" w:sz="4" w:space="0" w:color="000000"/>
              <w:left w:val="single" w:sz="4" w:space="0" w:color="000000"/>
              <w:bottom w:val="single" w:sz="4" w:space="0" w:color="000000"/>
              <w:right w:val="single" w:sz="4" w:space="0" w:color="000000"/>
            </w:tcBorders>
            <w:tcMar>
              <w:left w:w="80" w:type="dxa"/>
              <w:right w:w="80" w:type="dxa"/>
            </w:tcMar>
          </w:tcPr>
          <w:p w:rsidR="0016094D" w:rsidRDefault="00AC5402">
            <w:pPr>
              <w:jc w:val="center"/>
            </w:pPr>
            <w:proofErr w:type="spellStart"/>
            <w:r>
              <w:t>Value</w:t>
            </w:r>
            <w:proofErr w:type="spellEnd"/>
            <w:r>
              <w:t xml:space="preserve"> 1</w:t>
            </w:r>
          </w:p>
        </w:tc>
        <w:tc>
          <w:tcPr>
            <w:tcW w:w="3212" w:type="dxa"/>
            <w:tcBorders>
              <w:top w:val="single" w:sz="4" w:space="0" w:color="000000"/>
              <w:left w:val="single" w:sz="4" w:space="0" w:color="000000"/>
              <w:bottom w:val="single" w:sz="4" w:space="0" w:color="000000"/>
              <w:right w:val="single" w:sz="4" w:space="0" w:color="000000"/>
            </w:tcBorders>
            <w:tcMar>
              <w:left w:w="80" w:type="dxa"/>
              <w:right w:w="80" w:type="dxa"/>
            </w:tcMar>
          </w:tcPr>
          <w:p w:rsidR="0016094D" w:rsidRDefault="00AC5402">
            <w:pPr>
              <w:jc w:val="center"/>
            </w:pPr>
            <w:proofErr w:type="spellStart"/>
            <w:r>
              <w:t>Value</w:t>
            </w:r>
            <w:proofErr w:type="spellEnd"/>
            <w:r>
              <w:t xml:space="preserve"> 2</w:t>
            </w:r>
          </w:p>
        </w:tc>
        <w:tc>
          <w:tcPr>
            <w:tcW w:w="3212" w:type="dxa"/>
            <w:tcBorders>
              <w:top w:val="single" w:sz="4" w:space="0" w:color="000000"/>
              <w:left w:val="single" w:sz="4" w:space="0" w:color="000000"/>
              <w:bottom w:val="single" w:sz="4" w:space="0" w:color="000000"/>
              <w:right w:val="single" w:sz="4" w:space="0" w:color="000000"/>
            </w:tcBorders>
            <w:tcMar>
              <w:left w:w="80" w:type="dxa"/>
              <w:right w:w="80" w:type="dxa"/>
            </w:tcMar>
          </w:tcPr>
          <w:p w:rsidR="0016094D" w:rsidRDefault="00AC5402">
            <w:pPr>
              <w:jc w:val="center"/>
            </w:pPr>
            <w:proofErr w:type="spellStart"/>
            <w:r>
              <w:t>Value</w:t>
            </w:r>
            <w:proofErr w:type="spellEnd"/>
            <w:r>
              <w:t xml:space="preserve"> 3</w:t>
            </w:r>
          </w:p>
        </w:tc>
      </w:tr>
    </w:tbl>
    <w:p w:rsidR="0016094D" w:rsidRDefault="0016094D"/>
    <w:p w:rsidR="0016094D" w:rsidRPr="00AC5402" w:rsidRDefault="00AC5402">
      <w:pPr>
        <w:pStyle w:val="TextNST"/>
        <w:rPr>
          <w:lang w:val="en-US"/>
        </w:rPr>
      </w:pPr>
      <w:r w:rsidRPr="00AC5402">
        <w:rPr>
          <w:b/>
          <w:bCs/>
          <w:lang w:val="en-US"/>
        </w:rPr>
        <w:t xml:space="preserve">Conclusions. </w:t>
      </w:r>
      <w:r w:rsidRPr="00AC5402">
        <w:rPr>
          <w:lang w:val="en-US"/>
        </w:rPr>
        <w:t>The research results are summarized and the main conclusions are formulated here.</w:t>
      </w:r>
    </w:p>
    <w:p w:rsidR="0016094D" w:rsidRDefault="00AC5402">
      <w:pPr>
        <w:pStyle w:val="ReferencesHeadingNST"/>
      </w:pPr>
      <w:r>
        <w:t>REFERENCES</w:t>
      </w:r>
    </w:p>
    <w:p w:rsidR="0016094D" w:rsidRDefault="00AC5402">
      <w:pPr>
        <w:pStyle w:val="ReferenceNST"/>
      </w:pPr>
      <w:r w:rsidRPr="00AC5402">
        <w:rPr>
          <w:lang w:val="en-US"/>
        </w:rPr>
        <w:t xml:space="preserve">A. N. Cockcroft and J. N. F. Lameijer, </w:t>
      </w:r>
      <w:r w:rsidRPr="00AC5402">
        <w:rPr>
          <w:i/>
          <w:iCs/>
          <w:lang w:val="en-US"/>
        </w:rPr>
        <w:t>A Guide to the Collision Avoidance Rules</w:t>
      </w:r>
      <w:r w:rsidRPr="00AC5402">
        <w:rPr>
          <w:lang w:val="en-US"/>
        </w:rPr>
        <w:t xml:space="preserve">, 7th ed. </w:t>
      </w:r>
      <w:proofErr w:type="spellStart"/>
      <w:r>
        <w:t>Oxford</w:t>
      </w:r>
      <w:proofErr w:type="spellEnd"/>
      <w:r>
        <w:t xml:space="preserve">, U.K.: </w:t>
      </w:r>
      <w:proofErr w:type="spellStart"/>
      <w:r>
        <w:t>Butterworth-Heinemann</w:t>
      </w:r>
      <w:proofErr w:type="spellEnd"/>
      <w:r>
        <w:t>, 2012.</w:t>
      </w:r>
    </w:p>
    <w:p w:rsidR="0016094D" w:rsidRDefault="00AC5402">
      <w:pPr>
        <w:pStyle w:val="ReferenceNST"/>
      </w:pPr>
      <w:r w:rsidRPr="00AC5402">
        <w:rPr>
          <w:lang w:val="en-US"/>
        </w:rPr>
        <w:t xml:space="preserve">International Maritime Organization, </w:t>
      </w:r>
      <w:r w:rsidRPr="00AC5402">
        <w:rPr>
          <w:i/>
          <w:iCs/>
          <w:lang w:val="en-US"/>
        </w:rPr>
        <w:t>SOLAS: Consolidated Edition 2020</w:t>
      </w:r>
      <w:r w:rsidRPr="00AC5402">
        <w:rPr>
          <w:lang w:val="en-US"/>
        </w:rPr>
        <w:t xml:space="preserve">. </w:t>
      </w:r>
      <w:proofErr w:type="spellStart"/>
      <w:r>
        <w:t>London</w:t>
      </w:r>
      <w:proofErr w:type="spellEnd"/>
      <w:r>
        <w:t>, U.K.: IMO, 2020.</w:t>
      </w:r>
    </w:p>
    <w:p w:rsidR="0016094D" w:rsidRDefault="00AC5402">
      <w:pPr>
        <w:pStyle w:val="ReferenceNST"/>
      </w:pPr>
      <w:r w:rsidRPr="00AC5402">
        <w:rPr>
          <w:lang w:val="en-US"/>
        </w:rPr>
        <w:t xml:space="preserve">N. Bowditch, </w:t>
      </w:r>
      <w:r w:rsidRPr="00AC5402">
        <w:rPr>
          <w:i/>
          <w:iCs/>
          <w:lang w:val="en-US"/>
        </w:rPr>
        <w:t>The American Practical Navigator: An Epitome of Navigation</w:t>
      </w:r>
      <w:r w:rsidRPr="00AC5402">
        <w:rPr>
          <w:lang w:val="en-US"/>
        </w:rPr>
        <w:t xml:space="preserve">, Pub. No. 9. </w:t>
      </w:r>
      <w:proofErr w:type="spellStart"/>
      <w:r>
        <w:t>Springfield</w:t>
      </w:r>
      <w:proofErr w:type="spellEnd"/>
      <w:r>
        <w:t xml:space="preserve">, VA, USA: </w:t>
      </w:r>
      <w:proofErr w:type="spellStart"/>
      <w:r>
        <w:t>National</w:t>
      </w:r>
      <w:proofErr w:type="spellEnd"/>
      <w:r>
        <w:t xml:space="preserve"> </w:t>
      </w:r>
      <w:proofErr w:type="spellStart"/>
      <w:r>
        <w:t>Geospatial-Intelligence</w:t>
      </w:r>
      <w:proofErr w:type="spellEnd"/>
      <w:r>
        <w:t xml:space="preserve"> </w:t>
      </w:r>
      <w:proofErr w:type="spellStart"/>
      <w:r>
        <w:t>Agency</w:t>
      </w:r>
      <w:proofErr w:type="spellEnd"/>
      <w:r>
        <w:t>, 2019.</w:t>
      </w:r>
    </w:p>
    <w:p w:rsidR="0016094D" w:rsidRDefault="00AC5402">
      <w:pPr>
        <w:pStyle w:val="ReferenceNST"/>
      </w:pPr>
      <w:r w:rsidRPr="00AC5402">
        <w:rPr>
          <w:lang w:val="en-US"/>
        </w:rPr>
        <w:t xml:space="preserve">International Maritime Organization, </w:t>
      </w:r>
      <w:r w:rsidRPr="00AC5402">
        <w:rPr>
          <w:i/>
          <w:iCs/>
          <w:lang w:val="en-US"/>
        </w:rPr>
        <w:t>STCW Including 2010 Manila Amendments</w:t>
      </w:r>
      <w:r w:rsidRPr="00AC5402">
        <w:rPr>
          <w:lang w:val="en-US"/>
        </w:rPr>
        <w:t xml:space="preserve">, 3rd ed. </w:t>
      </w:r>
      <w:proofErr w:type="spellStart"/>
      <w:r>
        <w:t>London</w:t>
      </w:r>
      <w:proofErr w:type="spellEnd"/>
      <w:r>
        <w:t>, U.K.: IMO, 2011.</w:t>
      </w:r>
    </w:p>
    <w:p w:rsidR="0016094D" w:rsidRPr="00AC5402" w:rsidRDefault="00AC5402">
      <w:pPr>
        <w:pStyle w:val="ReferenceNST"/>
        <w:rPr>
          <w:lang w:val="en-US"/>
        </w:rPr>
      </w:pPr>
      <w:r w:rsidRPr="00AC5402">
        <w:rPr>
          <w:lang w:val="en-US"/>
        </w:rPr>
        <w:t xml:space="preserve">Verkhovna Rada of Ukraine, </w:t>
      </w:r>
      <w:r w:rsidRPr="00AC5402">
        <w:rPr>
          <w:i/>
          <w:iCs/>
          <w:lang w:val="en-US"/>
        </w:rPr>
        <w:t>Merchant Shipping Code of Ukraine</w:t>
      </w:r>
      <w:r w:rsidRPr="00AC5402">
        <w:rPr>
          <w:lang w:val="en-US"/>
        </w:rPr>
        <w:t>, No. 176/95-VR, May 23, 1995. [Online]. Available: https://zakon.rada.gov.ua/laws/show/176/95-</w:t>
      </w:r>
      <w:r>
        <w:t>вр</w:t>
      </w:r>
      <w:r w:rsidRPr="00AC5402">
        <w:rPr>
          <w:lang w:val="en-US"/>
        </w:rPr>
        <w:t xml:space="preserve"> (Accessed: Oct. 13, 2026).</w:t>
      </w:r>
    </w:p>
    <w:sectPr w:rsidR="0016094D" w:rsidRPr="00AC5402">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F3B45"/>
    <w:multiLevelType w:val="hybridMultilevel"/>
    <w:tmpl w:val="18025988"/>
    <w:lvl w:ilvl="0" w:tplc="27241D0A">
      <w:start w:val="1"/>
      <w:numFmt w:val="decimal"/>
      <w:pStyle w:val="ReferenceNST"/>
      <w:suff w:val="space"/>
      <w:lvlText w:val="[%1]"/>
      <w:lvlJc w:val="left"/>
      <w:pPr>
        <w:ind w:left="0" w:firstLine="567"/>
      </w:pPr>
    </w:lvl>
    <w:lvl w:ilvl="1" w:tplc="7398EF1C">
      <w:numFmt w:val="decimal"/>
      <w:lvlText w:val=""/>
      <w:lvlJc w:val="left"/>
    </w:lvl>
    <w:lvl w:ilvl="2" w:tplc="83748C46">
      <w:numFmt w:val="decimal"/>
      <w:lvlText w:val=""/>
      <w:lvlJc w:val="left"/>
    </w:lvl>
    <w:lvl w:ilvl="3" w:tplc="E9A87614">
      <w:numFmt w:val="decimal"/>
      <w:lvlText w:val=""/>
      <w:lvlJc w:val="left"/>
    </w:lvl>
    <w:lvl w:ilvl="4" w:tplc="47BA40CE">
      <w:numFmt w:val="decimal"/>
      <w:lvlText w:val=""/>
      <w:lvlJc w:val="left"/>
    </w:lvl>
    <w:lvl w:ilvl="5" w:tplc="A7C253A6">
      <w:numFmt w:val="decimal"/>
      <w:lvlText w:val=""/>
      <w:lvlJc w:val="left"/>
    </w:lvl>
    <w:lvl w:ilvl="6" w:tplc="979223A2">
      <w:numFmt w:val="decimal"/>
      <w:lvlText w:val=""/>
      <w:lvlJc w:val="left"/>
    </w:lvl>
    <w:lvl w:ilvl="7" w:tplc="5D30740A">
      <w:numFmt w:val="decimal"/>
      <w:lvlText w:val=""/>
      <w:lvlJc w:val="left"/>
    </w:lvl>
    <w:lvl w:ilvl="8" w:tplc="166C9EA4">
      <w:numFmt w:val="decimal"/>
      <w:lvlText w:val=""/>
      <w:lvlJc w:val="left"/>
    </w:lvl>
  </w:abstractNum>
  <w:abstractNum w:abstractNumId="1" w15:restartNumberingAfterBreak="0">
    <w:nsid w:val="6086525A"/>
    <w:multiLevelType w:val="hybridMultilevel"/>
    <w:tmpl w:val="0748AA84"/>
    <w:lvl w:ilvl="0" w:tplc="38C075A4">
      <w:start w:val="1"/>
      <w:numFmt w:val="bullet"/>
      <w:lvlText w:val="●"/>
      <w:lvlJc w:val="left"/>
      <w:pPr>
        <w:ind w:left="720" w:hanging="360"/>
      </w:pPr>
    </w:lvl>
    <w:lvl w:ilvl="1" w:tplc="8A0C84F0">
      <w:start w:val="1"/>
      <w:numFmt w:val="bullet"/>
      <w:lvlText w:val="○"/>
      <w:lvlJc w:val="left"/>
      <w:pPr>
        <w:ind w:left="1440" w:hanging="360"/>
      </w:pPr>
    </w:lvl>
    <w:lvl w:ilvl="2" w:tplc="4924786A">
      <w:start w:val="1"/>
      <w:numFmt w:val="bullet"/>
      <w:lvlText w:val="■"/>
      <w:lvlJc w:val="left"/>
      <w:pPr>
        <w:ind w:left="2160" w:hanging="360"/>
      </w:pPr>
    </w:lvl>
    <w:lvl w:ilvl="3" w:tplc="E65E4E46">
      <w:start w:val="1"/>
      <w:numFmt w:val="bullet"/>
      <w:lvlText w:val="●"/>
      <w:lvlJc w:val="left"/>
      <w:pPr>
        <w:ind w:left="2880" w:hanging="360"/>
      </w:pPr>
    </w:lvl>
    <w:lvl w:ilvl="4" w:tplc="3408A546">
      <w:start w:val="1"/>
      <w:numFmt w:val="bullet"/>
      <w:lvlText w:val="○"/>
      <w:lvlJc w:val="left"/>
      <w:pPr>
        <w:ind w:left="3600" w:hanging="360"/>
      </w:pPr>
    </w:lvl>
    <w:lvl w:ilvl="5" w:tplc="EE62AAD2">
      <w:start w:val="1"/>
      <w:numFmt w:val="bullet"/>
      <w:lvlText w:val="■"/>
      <w:lvlJc w:val="left"/>
      <w:pPr>
        <w:ind w:left="4320" w:hanging="360"/>
      </w:pPr>
    </w:lvl>
    <w:lvl w:ilvl="6" w:tplc="E3688F54">
      <w:start w:val="1"/>
      <w:numFmt w:val="bullet"/>
      <w:lvlText w:val="●"/>
      <w:lvlJc w:val="left"/>
      <w:pPr>
        <w:ind w:left="5040" w:hanging="360"/>
      </w:pPr>
    </w:lvl>
    <w:lvl w:ilvl="7" w:tplc="FC3AC0B6">
      <w:start w:val="1"/>
      <w:numFmt w:val="bullet"/>
      <w:lvlText w:val="●"/>
      <w:lvlJc w:val="left"/>
      <w:pPr>
        <w:ind w:left="5760" w:hanging="360"/>
      </w:pPr>
    </w:lvl>
    <w:lvl w:ilvl="8" w:tplc="905CB67A">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94D"/>
    <w:rsid w:val="0016094D"/>
    <w:rsid w:val="00465919"/>
    <w:rsid w:val="00AC54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369E4"/>
  <w15:docId w15:val="{7F731CF1-2890-4DC9-8441-71E6A97F8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customStyle="1" w:styleId="UDCNST">
    <w:name w:val="UDC NST"/>
    <w:next w:val="TextNST"/>
    <w:uiPriority w:val="1"/>
    <w:qFormat/>
    <w:pPr>
      <w:spacing w:after="240"/>
    </w:pPr>
    <w:rPr>
      <w:b/>
      <w:bCs/>
    </w:rPr>
  </w:style>
  <w:style w:type="paragraph" w:customStyle="1" w:styleId="TitleNST">
    <w:name w:val="Title NST"/>
    <w:next w:val="TextNST"/>
    <w:uiPriority w:val="1"/>
    <w:qFormat/>
    <w:pPr>
      <w:spacing w:after="240"/>
      <w:jc w:val="center"/>
    </w:pPr>
  </w:style>
  <w:style w:type="paragraph" w:customStyle="1" w:styleId="AuthorsNST">
    <w:name w:val="Authors NST"/>
    <w:next w:val="TextNST"/>
    <w:uiPriority w:val="1"/>
    <w:qFormat/>
    <w:pPr>
      <w:jc w:val="center"/>
    </w:pPr>
  </w:style>
  <w:style w:type="paragraph" w:customStyle="1" w:styleId="AffiliationNST">
    <w:name w:val="Affiliation NST"/>
    <w:next w:val="TextNST"/>
    <w:uiPriority w:val="1"/>
    <w:qFormat/>
    <w:pPr>
      <w:jc w:val="center"/>
    </w:pPr>
  </w:style>
  <w:style w:type="paragraph" w:customStyle="1" w:styleId="CorrespondingAuthorNST">
    <w:name w:val="Corresponding Author NST"/>
    <w:next w:val="TextNST"/>
    <w:uiPriority w:val="1"/>
    <w:qFormat/>
    <w:pPr>
      <w:spacing w:after="240"/>
      <w:jc w:val="center"/>
    </w:pPr>
    <w:rPr>
      <w:i/>
      <w:iCs/>
    </w:rPr>
  </w:style>
  <w:style w:type="paragraph" w:customStyle="1" w:styleId="KeywordsNST">
    <w:name w:val="Keywords NST"/>
    <w:next w:val="TextNST"/>
    <w:uiPriority w:val="1"/>
    <w:qFormat/>
    <w:pPr>
      <w:spacing w:after="240"/>
      <w:jc w:val="both"/>
    </w:pPr>
  </w:style>
  <w:style w:type="paragraph" w:customStyle="1" w:styleId="TextNST">
    <w:name w:val="Text NST"/>
    <w:uiPriority w:val="1"/>
    <w:qFormat/>
    <w:pPr>
      <w:ind w:firstLine="709"/>
      <w:jc w:val="both"/>
    </w:pPr>
  </w:style>
  <w:style w:type="paragraph" w:customStyle="1" w:styleId="FigureNST">
    <w:name w:val="Figure NST"/>
    <w:next w:val="TextNST"/>
    <w:uiPriority w:val="1"/>
    <w:qFormat/>
    <w:pPr>
      <w:keepNext/>
      <w:spacing w:before="120"/>
      <w:jc w:val="center"/>
    </w:pPr>
  </w:style>
  <w:style w:type="paragraph" w:customStyle="1" w:styleId="FigureCaptionNST">
    <w:name w:val="Figure Caption NST"/>
    <w:next w:val="TextNST"/>
    <w:uiPriority w:val="1"/>
    <w:qFormat/>
    <w:pPr>
      <w:spacing w:after="240"/>
      <w:jc w:val="center"/>
    </w:pPr>
  </w:style>
  <w:style w:type="paragraph" w:customStyle="1" w:styleId="TableCaptionNST">
    <w:name w:val="Table Caption NST"/>
    <w:next w:val="TextNST"/>
    <w:uiPriority w:val="1"/>
    <w:qFormat/>
    <w:pPr>
      <w:keepNext/>
      <w:spacing w:before="120"/>
    </w:pPr>
  </w:style>
  <w:style w:type="paragraph" w:customStyle="1" w:styleId="FormulaNST">
    <w:name w:val="Formula NST"/>
    <w:next w:val="TextNST"/>
    <w:uiPriority w:val="1"/>
    <w:qFormat/>
    <w:pPr>
      <w:tabs>
        <w:tab w:val="center" w:pos="4819"/>
        <w:tab w:val="right" w:pos="9638"/>
      </w:tabs>
      <w:spacing w:before="120" w:after="120"/>
    </w:pPr>
  </w:style>
  <w:style w:type="paragraph" w:customStyle="1" w:styleId="ReferencesHeadingNST">
    <w:name w:val="References Heading NST"/>
    <w:next w:val="TextNST"/>
    <w:uiPriority w:val="1"/>
    <w:qFormat/>
    <w:pPr>
      <w:keepNext/>
      <w:spacing w:before="240"/>
      <w:jc w:val="center"/>
    </w:pPr>
  </w:style>
  <w:style w:type="paragraph" w:customStyle="1" w:styleId="ReferenceNST">
    <w:name w:val="Reference NST"/>
    <w:uiPriority w:val="1"/>
    <w:qFormat/>
    <w:pPr>
      <w:numPr>
        <w:numId w:val="2"/>
      </w:num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571</Words>
  <Characters>3256</Characters>
  <Application>Microsoft Office Word</Application>
  <DocSecurity>0</DocSecurity>
  <Lines>27</Lines>
  <Paragraphs>7</Paragraphs>
  <ScaleCrop>false</ScaleCrop>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Дмитро Жуков</cp:lastModifiedBy>
  <cp:revision>3</cp:revision>
  <dcterms:created xsi:type="dcterms:W3CDTF">2026-10-13T08:01:00Z</dcterms:created>
  <dcterms:modified xsi:type="dcterms:W3CDTF">2026-10-13T09:26:00Z</dcterms:modified>
</cp:coreProperties>
</file>